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B9" w:rsidRPr="00E54864" w:rsidRDefault="00D263E4" w:rsidP="002F66B9">
      <w:pPr>
        <w:rPr>
          <w:rStyle w:val="Accentuationintense"/>
          <w:i w:val="0"/>
          <w:iCs w:val="0"/>
          <w:color w:val="002060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en-US"/>
        </w:rPr>
        <w:pict>
          <v:roundrect id="_x0000_s1050" style="position:absolute;margin-left:-23.85pt;margin-top:125.2pt;width:539.25pt;height:118.6pt;z-index:251662336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50" inset="18pt,0,18pt,0">
              <w:txbxContent>
                <w:p w:rsidR="00515B7B" w:rsidRPr="00515B7B" w:rsidRDefault="00515B7B" w:rsidP="00515B7B">
                  <w:pPr>
                    <w:pStyle w:val="Paragraphedeliste"/>
                    <w:numPr>
                      <w:ilvl w:val="0"/>
                      <w:numId w:val="9"/>
                    </w:numPr>
                    <w:ind w:left="284" w:right="-393" w:hanging="284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Connaître et appréhender les exigences réglementaires et les cadres de référence relatifs aux risques opérationnels et au contrôle permanent </w:t>
                  </w:r>
                </w:p>
                <w:p w:rsidR="00F976B0" w:rsidRPr="00F976B0" w:rsidRDefault="00F976B0" w:rsidP="0065757C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Acquérir les compétences et les connaissances indispensables à l’exercice du métier « </w:t>
                  </w:r>
                  <w:proofErr w:type="spellStart"/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risk</w:t>
                  </w:r>
                  <w:proofErr w:type="spellEnd"/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manager »</w:t>
                  </w:r>
                </w:p>
                <w:p w:rsidR="00F976B0" w:rsidRPr="00F976B0" w:rsidRDefault="00F976B0" w:rsidP="00F976B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Maîtriser les différentes composantes des dispositifs de management des risques opérationnels et de contrôle permanent</w:t>
                  </w:r>
                  <w:r w:rsidRPr="00F976B0">
                    <w:rPr>
                      <w:rFonts w:ascii="Book Antiqua" w:hAnsi="Book Antiqua"/>
                    </w:rPr>
                    <w:t> </w:t>
                  </w: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F976B0" w:rsidRPr="00F976B0" w:rsidRDefault="00F976B0" w:rsidP="00F976B0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Maîtriser le processus d’élaboration de la cartographie des risques opérationnels</w:t>
                  </w:r>
                  <w:r w:rsidRPr="00D47DE9">
                    <w:rPr>
                      <w:rFonts w:ascii="Book Antiqua" w:hAnsi="Book Antiqua"/>
                    </w:rPr>
                    <w:t> </w:t>
                  </w: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515B7B" w:rsidRDefault="00F976B0" w:rsidP="00515B7B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Transformer les dispositifs de management des risques opérationnels et  de contrôle permanent en</w:t>
                  </w:r>
                  <w:r w:rsidR="00FC10C8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levier</w:t>
                  </w:r>
                  <w:r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371DFD" w:rsidRDefault="00515B7B" w:rsidP="00515B7B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  <w:r w:rsidR="00F976B0" w:rsidRPr="00F976B0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performance de la Banque </w:t>
                  </w:r>
                </w:p>
                <w:p w:rsidR="00F976B0" w:rsidRPr="00F976B0" w:rsidRDefault="00F976B0" w:rsidP="0065757C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Style w:val="Accentuationintense"/>
          <w:i w:val="0"/>
          <w:iCs w:val="0"/>
          <w:color w:val="002060"/>
          <w:sz w:val="20"/>
          <w:szCs w:val="20"/>
        </w:rPr>
        <w:pict>
          <v:roundrect id="_x0000_s1051" style="position:absolute;margin-left:-17.85pt;margin-top:262.6pt;width:535.65pt;height:146.8pt;z-index:251663360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51" inset="0,0,0,0">
              <w:txbxContent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Gestionnaire des risques opérationnels 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Chargé « risques opérationnels » 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Responsables métiers et back office 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Auditeurs  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Responsable conformité  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Responsables et correspondants risques opérationnels  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Fonction Contrôle permanent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Fonction juridique et contrôle comptable </w:t>
                  </w:r>
                </w:p>
                <w:p w:rsidR="00515B7B" w:rsidRPr="00515B7B" w:rsidRDefault="00515B7B" w:rsidP="00CE14B1">
                  <w:pPr>
                    <w:pStyle w:val="Paragraphedeliste"/>
                    <w:numPr>
                      <w:ilvl w:val="0"/>
                      <w:numId w:val="10"/>
                    </w:numPr>
                    <w:spacing w:after="200" w:line="276" w:lineRule="auto"/>
                    <w:jc w:val="both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515B7B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Fonction sécurité physique et PCA</w:t>
                  </w:r>
                </w:p>
                <w:p w:rsidR="0065757C" w:rsidRPr="00E54864" w:rsidRDefault="0065757C" w:rsidP="00E54864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  <w:p w:rsidR="0065757C" w:rsidRPr="0065757C" w:rsidRDefault="0065757C" w:rsidP="00E54864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rFonts w:ascii="Book Antiqua" w:hAnsi="Book Antiqua"/>
          <w:noProof/>
          <w:sz w:val="22"/>
          <w:szCs w:val="22"/>
        </w:rPr>
        <w:pict>
          <v:roundrect id="_x0000_s1056" style="position:absolute;margin-left:-14.3pt;margin-top:12.8pt;width:535.7pt;height:91.2pt;z-index:251667456;mso-position-horizontal-relative:margin;mso-position-vertical-relative:margin;mso-width-relative:margin;mso-height-relative:margin" arcsize="6811f" o:allowincell="f" fillcolor="#f79646 [3209]" strokecolor="#f2f2f2 [3041]" strokeweight="3pt">
            <v:shadow on="t" type="perspective" color="#974706 [1609]" opacity=".5" offset="1pt" offset2="-1pt"/>
            <v:textbox style="mso-next-textbox:#_x0000_s1056" inset="18pt,18pt,18pt,18pt">
              <w:txbxContent>
                <w:p w:rsidR="002F66B9" w:rsidRPr="002F66B9" w:rsidRDefault="002F66B9" w:rsidP="002F66B9">
                  <w:pPr>
                    <w:tabs>
                      <w:tab w:val="left" w:pos="284"/>
                    </w:tabs>
                    <w:ind w:right="-393"/>
                    <w:jc w:val="center"/>
                    <w:rPr>
                      <w:color w:val="002060"/>
                      <w:sz w:val="36"/>
                      <w:szCs w:val="36"/>
                    </w:rPr>
                  </w:pPr>
                  <w:r w:rsidRPr="002F66B9">
                    <w:rPr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Certificat Professionnel</w:t>
                  </w:r>
                </w:p>
                <w:p w:rsidR="002F66B9" w:rsidRPr="002F66B9" w:rsidRDefault="008756A8" w:rsidP="008756A8">
                  <w:pPr>
                    <w:pStyle w:val="Paragraphedeliste"/>
                    <w:tabs>
                      <w:tab w:val="left" w:pos="284"/>
                    </w:tabs>
                    <w:ind w:left="-426" w:right="-393"/>
                    <w:jc w:val="center"/>
                    <w:rPr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En Risques Opérationnels et Contrôle Permanent – CPROC</w:t>
                  </w:r>
                  <w:r w:rsidR="002F66B9" w:rsidRPr="002F66B9">
                    <w:rPr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-</w:t>
                  </w:r>
                </w:p>
                <w:p w:rsidR="002F66B9" w:rsidRPr="0065757C" w:rsidRDefault="002F66B9" w:rsidP="002F66B9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  <w:p w:rsidR="002F66B9" w:rsidRPr="0065757C" w:rsidRDefault="002F66B9" w:rsidP="002F66B9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E54864">
        <w:rPr>
          <w:rStyle w:val="Accentuationintense"/>
          <w:i w:val="0"/>
          <w:iCs w:val="0"/>
          <w:color w:val="002060"/>
          <w:sz w:val="22"/>
          <w:szCs w:val="22"/>
        </w:rPr>
        <w:t xml:space="preserve"> Objectifs </w:t>
      </w:r>
    </w:p>
    <w:p w:rsidR="00585814" w:rsidRPr="00E54864" w:rsidRDefault="00D263E4" w:rsidP="002F66B9">
      <w:pPr>
        <w:rPr>
          <w:rStyle w:val="Accentuationintense"/>
          <w:i w:val="0"/>
          <w:iCs w:val="0"/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</w:rPr>
        <w:pict>
          <v:roundrect id="_x0000_s1058" style="position:absolute;margin-left:226.35pt;margin-top:428.15pt;width:291.45pt;height:48.15pt;z-index:251668480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58" inset="18pt,0,18pt,0">
              <w:txbxContent>
                <w:p w:rsidR="00D263E4" w:rsidRDefault="00D263E4" w:rsidP="00826193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bookmarkStart w:id="0" w:name="_GoBack"/>
                  <w:proofErr w:type="gramStart"/>
                  <w:r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Test  d’évaluation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préalable</w:t>
                  </w:r>
                </w:p>
                <w:p w:rsidR="003159C3" w:rsidRPr="00D263E4" w:rsidRDefault="00D263E4" w:rsidP="00826193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D263E4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Examen écrit (QCM + un cas d’application transversal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)</w:t>
                  </w:r>
                  <w:r w:rsidRPr="00D263E4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D263E4" w:rsidRDefault="00D263E4" w:rsidP="003159C3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Examen Oral</w:t>
                  </w:r>
                </w:p>
                <w:p w:rsidR="00D263E4" w:rsidRPr="003159C3" w:rsidRDefault="00D263E4" w:rsidP="003159C3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</w:pPr>
                </w:p>
                <w:p w:rsidR="003159C3" w:rsidRPr="0065757C" w:rsidRDefault="003159C3" w:rsidP="003159C3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  <w:bookmarkEnd w:id="0"/>
                <w:p w:rsidR="003159C3" w:rsidRPr="0065757C" w:rsidRDefault="003159C3" w:rsidP="003159C3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E54864" w:rsidRPr="00E54864">
        <w:rPr>
          <w:rStyle w:val="Accentuationintense"/>
          <w:i w:val="0"/>
          <w:iCs w:val="0"/>
          <w:color w:val="002060"/>
          <w:sz w:val="22"/>
          <w:szCs w:val="22"/>
        </w:rPr>
        <w:t>Population Cible</w:t>
      </w:r>
    </w:p>
    <w:p w:rsidR="00D820F8" w:rsidRDefault="00D263E4" w:rsidP="00D820F8">
      <w:pPr>
        <w:rPr>
          <w:b/>
          <w:bCs/>
          <w:noProof/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</w:rPr>
        <w:pict>
          <v:roundrect id="_x0000_s1052" style="position:absolute;margin-left:-7.65pt;margin-top:431.6pt;width:226.8pt;height:39.45pt;z-index:251664384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52" inset="18pt,0,18pt,0">
              <w:txbxContent>
                <w:p w:rsidR="003C2886" w:rsidRPr="00E54864" w:rsidRDefault="00515B7B" w:rsidP="00ED504A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rPr>
                      <w:color w:val="002060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</w:rPr>
                    <w:t>16</w:t>
                  </w:r>
                  <w:r w:rsidR="003C2886"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 journées de formation sur une durée de 3 à </w:t>
                  </w:r>
                  <w:r w:rsidR="00ED504A">
                    <w:rPr>
                      <w:b/>
                      <w:bCs/>
                      <w:i/>
                      <w:iCs/>
                      <w:color w:val="002060"/>
                    </w:rPr>
                    <w:t>4</w:t>
                  </w:r>
                  <w:r w:rsidR="003C2886"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 mois</w:t>
                  </w:r>
                </w:p>
                <w:p w:rsidR="003C2886" w:rsidRPr="0065757C" w:rsidRDefault="003C2886" w:rsidP="003C2886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  <w:p w:rsidR="003C2886" w:rsidRPr="0065757C" w:rsidRDefault="003C2886" w:rsidP="003C2886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E54864" w:rsidRPr="00E54864">
        <w:rPr>
          <w:b/>
          <w:bCs/>
          <w:noProof/>
          <w:color w:val="002060"/>
          <w:sz w:val="22"/>
          <w:szCs w:val="22"/>
        </w:rPr>
        <w:t xml:space="preserve">Durée </w:t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</w:r>
      <w:r w:rsidR="003159C3">
        <w:rPr>
          <w:b/>
          <w:bCs/>
          <w:noProof/>
          <w:color w:val="002060"/>
          <w:sz w:val="22"/>
          <w:szCs w:val="22"/>
        </w:rPr>
        <w:tab/>
        <w:t>Examens</w:t>
      </w:r>
    </w:p>
    <w:p w:rsidR="00D820F8" w:rsidRDefault="00D820F8" w:rsidP="00D820F8">
      <w:pPr>
        <w:rPr>
          <w:b/>
          <w:bCs/>
          <w:noProof/>
          <w:color w:val="002060"/>
          <w:sz w:val="22"/>
          <w:szCs w:val="22"/>
        </w:rPr>
      </w:pPr>
    </w:p>
    <w:p w:rsidR="00D820F8" w:rsidRDefault="00D263E4" w:rsidP="00D820F8">
      <w:pPr>
        <w:rPr>
          <w:rStyle w:val="Accentuationintense"/>
          <w:i w:val="0"/>
          <w:iCs w:val="0"/>
          <w:noProof/>
          <w:color w:val="002060"/>
          <w:sz w:val="22"/>
          <w:szCs w:val="22"/>
        </w:rPr>
      </w:pPr>
      <w:r>
        <w:rPr>
          <w:rStyle w:val="Accentuationintense"/>
          <w:color w:val="002060"/>
          <w:sz w:val="20"/>
          <w:szCs w:val="20"/>
        </w:rPr>
        <w:pict>
          <v:roundrect id="_x0000_s1054" style="position:absolute;margin-left:-21.95pt;margin-top:504.8pt;width:535.65pt;height:195.75pt;z-index:251665408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54" inset="18pt,0,18pt,0">
              <w:txbxContent>
                <w:p w:rsidR="00D820F8" w:rsidRPr="00E54864" w:rsidRDefault="00D820F8" w:rsidP="00D820F8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D820F8">
                    <w:rPr>
                      <w:b/>
                      <w:bCs/>
                      <w:i/>
                      <w:iCs/>
                      <w:color w:val="E36C0A" w:themeColor="accent6" w:themeShade="BF"/>
                      <w:u w:val="single"/>
                    </w:rPr>
                    <w:t>Chapitre I</w:t>
                  </w:r>
                  <w:r w:rsidRPr="00D820F8"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 xml:space="preserve"> : Risques </w:t>
                  </w:r>
                  <w:r w:rsidR="00ED504A" w:rsidRPr="00D820F8"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>opérationnels</w:t>
                  </w:r>
                  <w:r w:rsidR="00ED504A"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 xml:space="preserve"> (11 jours)</w:t>
                  </w:r>
                  <w:r>
                    <w:rPr>
                      <w:b/>
                      <w:bCs/>
                      <w:i/>
                      <w:iCs/>
                      <w:color w:val="002060"/>
                    </w:rPr>
                    <w:t> </w:t>
                  </w:r>
                  <w:r w:rsidRPr="00ED504A"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>:</w:t>
                  </w:r>
                </w:p>
                <w:p w:rsidR="003C2886" w:rsidRPr="00D820F8" w:rsidRDefault="003C2886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54864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1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="00D820F8" w:rsidRPr="00D820F8">
                    <w:rPr>
                      <w:b/>
                      <w:bCs/>
                      <w:i/>
                      <w:iCs/>
                      <w:color w:val="002060"/>
                    </w:rPr>
                    <w:t>Politique de management des risques opérationnels</w:t>
                  </w:r>
                </w:p>
                <w:p w:rsidR="003C2886" w:rsidRPr="00D820F8" w:rsidRDefault="003C2886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D820F8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2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="00D820F8" w:rsidRPr="00D820F8">
                    <w:rPr>
                      <w:b/>
                      <w:bCs/>
                      <w:i/>
                      <w:iCs/>
                      <w:color w:val="002060"/>
                    </w:rPr>
                    <w:t>Dispositif de managements de risques opérationnels</w:t>
                  </w:r>
                </w:p>
                <w:p w:rsidR="003C2886" w:rsidRPr="00D820F8" w:rsidRDefault="003C2886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D820F8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3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="00D820F8" w:rsidRPr="00D820F8">
                    <w:rPr>
                      <w:b/>
                      <w:bCs/>
                      <w:i/>
                      <w:iCs/>
                      <w:color w:val="002060"/>
                    </w:rPr>
                    <w:t>Modalités de collecte des incidents du risque opérationnel</w:t>
                  </w:r>
                </w:p>
                <w:p w:rsidR="003C2886" w:rsidRDefault="003C2886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D820F8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4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="00D820F8" w:rsidRPr="00D820F8">
                    <w:rPr>
                      <w:b/>
                      <w:bCs/>
                      <w:i/>
                      <w:iCs/>
                      <w:color w:val="002060"/>
                    </w:rPr>
                    <w:t>Elaboration d’une cartographie des risques</w:t>
                  </w:r>
                </w:p>
                <w:p w:rsidR="00D820F8" w:rsidRPr="00D820F8" w:rsidRDefault="00D820F8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D820F8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</w:t>
                  </w:r>
                  <w:r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5</w:t>
                  </w:r>
                  <w:r w:rsidRPr="00D820F8">
                    <w:rPr>
                      <w:b/>
                      <w:bCs/>
                      <w:i/>
                      <w:iCs/>
                      <w:color w:val="002060"/>
                    </w:rPr>
                    <w:t> :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> </w:t>
                  </w:r>
                  <w:proofErr w:type="spellStart"/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>Reporting</w:t>
                  </w:r>
                  <w:proofErr w:type="spellEnd"/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 xml:space="preserve"> et tableau de bord des risques opérationnels</w:t>
                  </w:r>
                </w:p>
                <w:p w:rsidR="00D820F8" w:rsidRPr="00D820F8" w:rsidRDefault="00D820F8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D504A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 6</w:t>
                  </w:r>
                  <w:r w:rsidRPr="00D820F8">
                    <w:rPr>
                      <w:b/>
                      <w:bCs/>
                      <w:i/>
                      <w:iCs/>
                      <w:color w:val="002060"/>
                    </w:rPr>
                    <w:t> :</w:t>
                  </w:r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 xml:space="preserve"> Fraude bancaire</w:t>
                  </w:r>
                </w:p>
                <w:p w:rsidR="00D820F8" w:rsidRDefault="00D820F8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D504A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 7</w:t>
                  </w:r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="00ED504A">
                    <w:rPr>
                      <w:b/>
                      <w:bCs/>
                      <w:i/>
                      <w:iCs/>
                      <w:color w:val="002060"/>
                    </w:rPr>
                    <w:t>Risques et assurances</w:t>
                  </w:r>
                </w:p>
                <w:p w:rsidR="00ED504A" w:rsidRPr="00ED504A" w:rsidRDefault="00ED504A" w:rsidP="00ED504A">
                  <w:pPr>
                    <w:tabs>
                      <w:tab w:val="left" w:pos="284"/>
                    </w:tabs>
                    <w:ind w:right="-393"/>
                    <w:jc w:val="both"/>
                    <w:rPr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ED504A">
                    <w:rPr>
                      <w:b/>
                      <w:bCs/>
                      <w:i/>
                      <w:iCs/>
                      <w:color w:val="E36C0A" w:themeColor="accent6" w:themeShade="BF"/>
                      <w:u w:val="single"/>
                    </w:rPr>
                    <w:t>Chapitre I</w:t>
                  </w:r>
                  <w:r>
                    <w:rPr>
                      <w:b/>
                      <w:bCs/>
                      <w:i/>
                      <w:iCs/>
                      <w:color w:val="E36C0A" w:themeColor="accent6" w:themeShade="BF"/>
                      <w:u w:val="single"/>
                    </w:rPr>
                    <w:t>I</w:t>
                  </w:r>
                  <w:r w:rsidRPr="00ED504A"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 xml:space="preserve"> : </w:t>
                  </w:r>
                  <w:r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>Contrôle permanent (5 jours)</w:t>
                  </w:r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> </w:t>
                  </w:r>
                  <w:r w:rsidRPr="00ED504A">
                    <w:rPr>
                      <w:b/>
                      <w:bCs/>
                      <w:i/>
                      <w:iCs/>
                      <w:color w:val="E36C0A" w:themeColor="accent6" w:themeShade="BF"/>
                    </w:rPr>
                    <w:t>:</w:t>
                  </w:r>
                </w:p>
                <w:p w:rsidR="00ED504A" w:rsidRPr="00ED504A" w:rsidRDefault="00ED504A" w:rsidP="00D820F8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54864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1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>Cadre règlementaire</w:t>
                  </w:r>
                </w:p>
                <w:p w:rsidR="00ED504A" w:rsidRPr="00ED504A" w:rsidRDefault="00ED504A" w:rsidP="00ED504A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D504A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2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 xml:space="preserve">Dispositif du contrôle permanent  </w:t>
                  </w:r>
                </w:p>
                <w:p w:rsidR="00ED504A" w:rsidRPr="00D820F8" w:rsidRDefault="00ED504A" w:rsidP="00ED504A">
                  <w:pPr>
                    <w:pStyle w:val="Paragraphedeliste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0" w:right="-393" w:firstLine="0"/>
                    <w:jc w:val="both"/>
                    <w:rPr>
                      <w:b/>
                      <w:bCs/>
                      <w:i/>
                      <w:iCs/>
                      <w:color w:val="002060"/>
                    </w:rPr>
                  </w:pPr>
                  <w:r w:rsidRPr="00ED504A">
                    <w:rPr>
                      <w:b/>
                      <w:bCs/>
                      <w:i/>
                      <w:iCs/>
                      <w:color w:val="002060"/>
                      <w:u w:val="single"/>
                    </w:rPr>
                    <w:t>Module 3</w:t>
                  </w:r>
                  <w:r w:rsidRPr="00E54864">
                    <w:rPr>
                      <w:b/>
                      <w:bCs/>
                      <w:i/>
                      <w:iCs/>
                      <w:color w:val="002060"/>
                    </w:rPr>
                    <w:t xml:space="preserve"> : </w:t>
                  </w:r>
                  <w:r w:rsidRPr="00ED504A">
                    <w:rPr>
                      <w:b/>
                      <w:bCs/>
                      <w:i/>
                      <w:iCs/>
                      <w:color w:val="002060"/>
                    </w:rPr>
                    <w:t>Méthodologie d’un contrôle permanent</w:t>
                  </w:r>
                </w:p>
              </w:txbxContent>
            </v:textbox>
            <w10:wrap type="square" anchorx="margin" anchory="margin"/>
          </v:roundrect>
        </w:pict>
      </w:r>
      <w:r w:rsidR="00E54864">
        <w:rPr>
          <w:rStyle w:val="Accentuationintense"/>
          <w:i w:val="0"/>
          <w:iCs w:val="0"/>
          <w:color w:val="002060"/>
          <w:sz w:val="22"/>
          <w:szCs w:val="22"/>
        </w:rPr>
        <w:t xml:space="preserve"> </w:t>
      </w:r>
      <w:r w:rsidR="00D820F8">
        <w:rPr>
          <w:rStyle w:val="Accentuationintense"/>
          <w:i w:val="0"/>
          <w:iCs w:val="0"/>
          <w:color w:val="002060"/>
          <w:sz w:val="22"/>
          <w:szCs w:val="22"/>
        </w:rPr>
        <w:t>Programme</w:t>
      </w:r>
    </w:p>
    <w:p w:rsidR="00CE14B1" w:rsidRPr="00E54864" w:rsidRDefault="00ED504A" w:rsidP="00CE14B1">
      <w:pPr>
        <w:spacing w:after="200" w:line="276" w:lineRule="auto"/>
        <w:rPr>
          <w:rStyle w:val="Accentuationintense"/>
          <w:i w:val="0"/>
          <w:iCs w:val="0"/>
          <w:color w:val="002060"/>
          <w:sz w:val="22"/>
          <w:szCs w:val="22"/>
        </w:rPr>
      </w:pPr>
      <w:r>
        <w:rPr>
          <w:rStyle w:val="Accentuationintense"/>
          <w:i w:val="0"/>
          <w:iCs w:val="0"/>
          <w:color w:val="002060"/>
          <w:sz w:val="22"/>
          <w:szCs w:val="22"/>
        </w:rPr>
        <w:t>Prix</w:t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</w:r>
      <w:r>
        <w:rPr>
          <w:rStyle w:val="Accentuationintense"/>
          <w:i w:val="0"/>
          <w:iCs w:val="0"/>
          <w:color w:val="002060"/>
          <w:sz w:val="22"/>
          <w:szCs w:val="22"/>
        </w:rPr>
        <w:tab/>
        <w:t>Renseignements</w:t>
      </w:r>
      <w:r w:rsidR="00D263E4">
        <w:rPr>
          <w:b/>
          <w:bCs/>
          <w:noProof/>
          <w:color w:val="002060"/>
          <w:sz w:val="22"/>
          <w:szCs w:val="22"/>
        </w:rPr>
        <w:pict>
          <v:roundrect id="_x0000_s1061" style="position:absolute;margin-left:-27.9pt;margin-top:731.3pt;width:226.8pt;height:30pt;z-index:251670528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61" inset="18pt,0,18pt,0">
              <w:txbxContent>
                <w:p w:rsidR="00ED504A" w:rsidRPr="00E54864" w:rsidRDefault="00FC10C8" w:rsidP="00FC10C8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rPr>
                      <w:color w:val="002060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</w:rPr>
                    <w:t>4</w:t>
                  </w:r>
                  <w:r w:rsidR="00ED504A">
                    <w:rPr>
                      <w:b/>
                      <w:bCs/>
                      <w:i/>
                      <w:iCs/>
                      <w:color w:val="002060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2060"/>
                    </w:rPr>
                    <w:t>5</w:t>
                  </w:r>
                  <w:r w:rsidR="00ED504A">
                    <w:rPr>
                      <w:b/>
                      <w:bCs/>
                      <w:i/>
                      <w:iCs/>
                      <w:color w:val="002060"/>
                    </w:rPr>
                    <w:t>00 Dinars Tunisiens Hors taxe</w:t>
                  </w:r>
                </w:p>
                <w:p w:rsidR="00ED504A" w:rsidRPr="0065757C" w:rsidRDefault="00ED504A" w:rsidP="00ED504A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  <w:p w:rsidR="00ED504A" w:rsidRPr="0065757C" w:rsidRDefault="00ED504A" w:rsidP="00ED504A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D263E4">
        <w:rPr>
          <w:b/>
          <w:bCs/>
          <w:noProof/>
          <w:color w:val="002060"/>
          <w:sz w:val="22"/>
          <w:szCs w:val="22"/>
        </w:rPr>
        <w:pict>
          <v:roundrect id="_x0000_s1062" style="position:absolute;margin-left:256.05pt;margin-top:730.55pt;width:226.8pt;height:30.75pt;z-index:251671552;mso-position-horizontal-relative:margin;mso-position-vertical-relative:margin;mso-width-relative:margin;mso-height-relative:margin" arcsize="6811f" o:allowincell="f" filled="f" fillcolor="#4bacc6 [3208]" strokecolor="#f2f2f2 [3041]" strokeweight="3pt">
            <v:shadow on="t" type="perspective" color="#205867 [1608]" opacity=".5" offset="1pt" offset2="-1pt"/>
            <v:textbox style="mso-next-textbox:#_x0000_s1062" inset="18pt,0,18pt,0">
              <w:txbxContent>
                <w:p w:rsidR="00ED504A" w:rsidRPr="00C63D7E" w:rsidRDefault="00ED504A" w:rsidP="00ED504A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C63D7E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70 147 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363</w:t>
                  </w:r>
                </w:p>
                <w:p w:rsidR="00ED504A" w:rsidRPr="0065757C" w:rsidRDefault="00D263E4" w:rsidP="00ED504A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center"/>
                    <w:rPr>
                      <w:color w:val="002060"/>
                      <w:sz w:val="34"/>
                      <w:szCs w:val="34"/>
                    </w:rPr>
                  </w:pPr>
                  <w:hyperlink r:id="rId6" w:history="1">
                    <w:r w:rsidR="00ED504A">
                      <w:rPr>
                        <w:rStyle w:val="Lienhypertexte"/>
                        <w:sz w:val="20"/>
                        <w:szCs w:val="20"/>
                      </w:rPr>
                      <w:t>bessaies.ahlem@abf.tn</w:t>
                    </w:r>
                  </w:hyperlink>
                </w:p>
                <w:p w:rsidR="00ED504A" w:rsidRPr="0065757C" w:rsidRDefault="00ED504A" w:rsidP="00ED504A">
                  <w:pPr>
                    <w:pStyle w:val="Paragraphedeliste"/>
                    <w:tabs>
                      <w:tab w:val="left" w:pos="284"/>
                    </w:tabs>
                    <w:ind w:left="0" w:right="-393"/>
                    <w:jc w:val="both"/>
                    <w:rPr>
                      <w:color w:val="002060"/>
                      <w:sz w:val="34"/>
                      <w:szCs w:val="34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CE14B1" w:rsidRPr="00E54864" w:rsidSect="002F66B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50F"/>
    <w:multiLevelType w:val="hybridMultilevel"/>
    <w:tmpl w:val="2CB6A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FFC"/>
    <w:multiLevelType w:val="hybridMultilevel"/>
    <w:tmpl w:val="2734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92F"/>
    <w:multiLevelType w:val="hybridMultilevel"/>
    <w:tmpl w:val="38A6B0E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5F1C64"/>
    <w:multiLevelType w:val="multilevel"/>
    <w:tmpl w:val="C344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A24EE"/>
    <w:multiLevelType w:val="hybridMultilevel"/>
    <w:tmpl w:val="A6603000"/>
    <w:lvl w:ilvl="0" w:tplc="A74C9B20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8A2069"/>
    <w:multiLevelType w:val="hybridMultilevel"/>
    <w:tmpl w:val="556C8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02088"/>
    <w:multiLevelType w:val="hybridMultilevel"/>
    <w:tmpl w:val="C71893E4"/>
    <w:lvl w:ilvl="0" w:tplc="35684C98">
      <w:numFmt w:val="bullet"/>
      <w:lvlText w:val=""/>
      <w:lvlJc w:val="left"/>
      <w:pPr>
        <w:ind w:left="7874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7" w15:restartNumberingAfterBreak="0">
    <w:nsid w:val="5F337D64"/>
    <w:multiLevelType w:val="hybridMultilevel"/>
    <w:tmpl w:val="8BFA96FA"/>
    <w:lvl w:ilvl="0" w:tplc="35684C9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01673"/>
    <w:multiLevelType w:val="hybridMultilevel"/>
    <w:tmpl w:val="D780F7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417FE"/>
    <w:multiLevelType w:val="hybridMultilevel"/>
    <w:tmpl w:val="255A572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8D"/>
    <w:rsid w:val="0000679F"/>
    <w:rsid w:val="00031A47"/>
    <w:rsid w:val="00062E80"/>
    <w:rsid w:val="00073DF5"/>
    <w:rsid w:val="000A0A8B"/>
    <w:rsid w:val="000A472F"/>
    <w:rsid w:val="000B2699"/>
    <w:rsid w:val="000C1FF7"/>
    <w:rsid w:val="000D4177"/>
    <w:rsid w:val="000F4567"/>
    <w:rsid w:val="001A3C3E"/>
    <w:rsid w:val="001C2293"/>
    <w:rsid w:val="001D12C0"/>
    <w:rsid w:val="001E3F50"/>
    <w:rsid w:val="001E655A"/>
    <w:rsid w:val="00203BDF"/>
    <w:rsid w:val="002611DD"/>
    <w:rsid w:val="002A24AC"/>
    <w:rsid w:val="002F66B9"/>
    <w:rsid w:val="0030271B"/>
    <w:rsid w:val="00312B59"/>
    <w:rsid w:val="003159C3"/>
    <w:rsid w:val="003321C8"/>
    <w:rsid w:val="00357E85"/>
    <w:rsid w:val="00367A72"/>
    <w:rsid w:val="00371DFD"/>
    <w:rsid w:val="0038597A"/>
    <w:rsid w:val="003A66FB"/>
    <w:rsid w:val="003B334A"/>
    <w:rsid w:val="003C2886"/>
    <w:rsid w:val="004127AB"/>
    <w:rsid w:val="004623FF"/>
    <w:rsid w:val="004A616E"/>
    <w:rsid w:val="004C4617"/>
    <w:rsid w:val="004D0D48"/>
    <w:rsid w:val="004E20BE"/>
    <w:rsid w:val="004E70B0"/>
    <w:rsid w:val="004F3FA0"/>
    <w:rsid w:val="00515B7B"/>
    <w:rsid w:val="0052058B"/>
    <w:rsid w:val="00545E38"/>
    <w:rsid w:val="00553664"/>
    <w:rsid w:val="0056311A"/>
    <w:rsid w:val="005635E5"/>
    <w:rsid w:val="00585814"/>
    <w:rsid w:val="005E110A"/>
    <w:rsid w:val="005E4766"/>
    <w:rsid w:val="00605372"/>
    <w:rsid w:val="00627028"/>
    <w:rsid w:val="00652504"/>
    <w:rsid w:val="00654E9B"/>
    <w:rsid w:val="0065757C"/>
    <w:rsid w:val="006675AD"/>
    <w:rsid w:val="00687629"/>
    <w:rsid w:val="006B1233"/>
    <w:rsid w:val="006D29D3"/>
    <w:rsid w:val="006E34DA"/>
    <w:rsid w:val="00701CDC"/>
    <w:rsid w:val="00713AA0"/>
    <w:rsid w:val="007523D7"/>
    <w:rsid w:val="00761D08"/>
    <w:rsid w:val="007629FF"/>
    <w:rsid w:val="007B3FFE"/>
    <w:rsid w:val="007D36D9"/>
    <w:rsid w:val="0081405F"/>
    <w:rsid w:val="00847BB8"/>
    <w:rsid w:val="00854EAD"/>
    <w:rsid w:val="00872E02"/>
    <w:rsid w:val="008756A8"/>
    <w:rsid w:val="00877773"/>
    <w:rsid w:val="008B0A8E"/>
    <w:rsid w:val="008F07F7"/>
    <w:rsid w:val="00961BA4"/>
    <w:rsid w:val="00962721"/>
    <w:rsid w:val="0097460D"/>
    <w:rsid w:val="009E0CF4"/>
    <w:rsid w:val="00A04EE1"/>
    <w:rsid w:val="00A62ED7"/>
    <w:rsid w:val="00A8338A"/>
    <w:rsid w:val="00A85446"/>
    <w:rsid w:val="00AA501B"/>
    <w:rsid w:val="00AB0574"/>
    <w:rsid w:val="00AB2686"/>
    <w:rsid w:val="00AC657A"/>
    <w:rsid w:val="00B2238B"/>
    <w:rsid w:val="00B50886"/>
    <w:rsid w:val="00B77C2C"/>
    <w:rsid w:val="00B85727"/>
    <w:rsid w:val="00BA6E75"/>
    <w:rsid w:val="00C63D7E"/>
    <w:rsid w:val="00CB59B7"/>
    <w:rsid w:val="00CE14B1"/>
    <w:rsid w:val="00CF643D"/>
    <w:rsid w:val="00D1000F"/>
    <w:rsid w:val="00D157EC"/>
    <w:rsid w:val="00D263E4"/>
    <w:rsid w:val="00D41809"/>
    <w:rsid w:val="00D55EC7"/>
    <w:rsid w:val="00D632AE"/>
    <w:rsid w:val="00D820F8"/>
    <w:rsid w:val="00DC34AE"/>
    <w:rsid w:val="00DE3608"/>
    <w:rsid w:val="00DE3BDA"/>
    <w:rsid w:val="00DF1E01"/>
    <w:rsid w:val="00DF7B21"/>
    <w:rsid w:val="00E02C97"/>
    <w:rsid w:val="00E17FC6"/>
    <w:rsid w:val="00E36147"/>
    <w:rsid w:val="00E54864"/>
    <w:rsid w:val="00E6355A"/>
    <w:rsid w:val="00E704A7"/>
    <w:rsid w:val="00E97599"/>
    <w:rsid w:val="00ED504A"/>
    <w:rsid w:val="00F42DD2"/>
    <w:rsid w:val="00F47CB9"/>
    <w:rsid w:val="00F77C5D"/>
    <w:rsid w:val="00F976B0"/>
    <w:rsid w:val="00FC10C8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AF452C3"/>
  <w15:docId w15:val="{D8CC6DC1-0410-4EF4-8743-A8B6433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1F8D"/>
    <w:pPr>
      <w:keepNext/>
      <w:jc w:val="center"/>
      <w:outlineLvl w:val="0"/>
    </w:pPr>
    <w:rPr>
      <w:rFonts w:ascii="Book Antiqua" w:hAnsi="Book Antiqua"/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FE1F8D"/>
    <w:pPr>
      <w:keepNext/>
      <w:spacing w:line="360" w:lineRule="auto"/>
      <w:jc w:val="both"/>
      <w:outlineLvl w:val="1"/>
    </w:pPr>
    <w:rPr>
      <w:rFonts w:ascii="Book Antiqua" w:hAnsi="Book Antiqua"/>
      <w:b/>
      <w:bCs/>
      <w:sz w:val="26"/>
      <w:szCs w:val="32"/>
    </w:rPr>
  </w:style>
  <w:style w:type="paragraph" w:styleId="Titre3">
    <w:name w:val="heading 3"/>
    <w:basedOn w:val="Normal"/>
    <w:next w:val="Normal"/>
    <w:link w:val="Titre3Car"/>
    <w:qFormat/>
    <w:rsid w:val="00FE1F8D"/>
    <w:pPr>
      <w:keepNext/>
      <w:ind w:left="3780"/>
      <w:outlineLvl w:val="2"/>
    </w:pPr>
    <w:rPr>
      <w:rFonts w:ascii="Georgia" w:hAnsi="Georgia" w:cs="Tahoma"/>
      <w:b/>
      <w:bCs/>
      <w:caps/>
      <w:sz w:val="28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E70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1F8D"/>
    <w:rPr>
      <w:rFonts w:ascii="Book Antiqua" w:eastAsia="Times New Roman" w:hAnsi="Book Antiqua" w:cs="Times New Roman"/>
      <w:b/>
      <w:bCs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E1F8D"/>
    <w:rPr>
      <w:rFonts w:ascii="Book Antiqua" w:eastAsia="Times New Roman" w:hAnsi="Book Antiqua" w:cs="Times New Roman"/>
      <w:b/>
      <w:bCs/>
      <w:sz w:val="26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E1F8D"/>
    <w:rPr>
      <w:rFonts w:ascii="Georgia" w:eastAsia="Times New Roman" w:hAnsi="Georgia" w:cs="Tahoma"/>
      <w:b/>
      <w:bCs/>
      <w:caps/>
      <w:sz w:val="28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E1F8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C657A"/>
    <w:rPr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sid w:val="004E70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D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D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2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liti.asma.ab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66BF-B939-430C-BDAE-7DC5ADD9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asma2015</dc:creator>
  <cp:lastModifiedBy>abf academy III</cp:lastModifiedBy>
  <cp:revision>9</cp:revision>
  <cp:lastPrinted>2017-12-13T12:51:00Z</cp:lastPrinted>
  <dcterms:created xsi:type="dcterms:W3CDTF">2017-12-27T07:32:00Z</dcterms:created>
  <dcterms:modified xsi:type="dcterms:W3CDTF">2018-10-23T11:11:00Z</dcterms:modified>
</cp:coreProperties>
</file>